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03" w:rsidRPr="00D17049" w:rsidRDefault="00D17049">
      <w:pPr>
        <w:widowControl w:val="0"/>
        <w:spacing w:before="240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ПРОТОКОЛ ЗАГАЛЬНИХ ЗБОРІВ АКЦІОНЕРІВ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p w:rsidR="00392B03" w:rsidRDefault="00D17049">
      <w:pPr>
        <w:widowControl w:val="0"/>
        <w:spacing w:before="240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Річні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загальні збори акціонерів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 (далі – Загальні збори) </w:t>
      </w:r>
    </w:p>
    <w:p w:rsidR="00392B03" w:rsidRDefault="00D17049">
      <w:pPr>
        <w:widowControl w:val="0"/>
        <w:spacing w:before="240"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Приватне акціонерне товариство "Білоцерківська книжкова фабрика"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(код за ЄДРПОУ 02466961, далі – Товариство)</w:t>
      </w:r>
    </w:p>
    <w:p w:rsidR="00392B03" w:rsidRDefault="00392B03">
      <w:pPr>
        <w:widowControl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92B03" w:rsidRDefault="00392B03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Інформація про збори:</w:t>
      </w:r>
    </w:p>
    <w:tbl>
      <w:tblPr>
        <w:tblStyle w:val="af3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Загальних зборів:</w:t>
            </w:r>
          </w:p>
        </w:tc>
        <w:tc>
          <w:tcPr>
            <w:tcW w:w="4253" w:type="dxa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</w:t>
            </w: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Спосіб проведення Загальних зборів:</w:t>
            </w:r>
          </w:p>
        </w:tc>
        <w:tc>
          <w:tcPr>
            <w:tcW w:w="4253" w:type="dxa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Шляхом електронного голосування</w:t>
            </w:r>
          </w:p>
        </w:tc>
      </w:tr>
      <w:tr w:rsidR="00392B03">
        <w:tc>
          <w:tcPr>
            <w:tcW w:w="5387" w:type="dxa"/>
          </w:tcPr>
          <w:p w:rsidR="00392B03" w:rsidRDefault="00392B03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92B03" w:rsidRDefault="00392B03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та час початку голосування:</w:t>
            </w:r>
          </w:p>
        </w:tc>
        <w:tc>
          <w:tcPr>
            <w:tcW w:w="4253" w:type="dxa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9:00</w:t>
            </w: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та час завершення голосування:</w:t>
            </w:r>
          </w:p>
        </w:tc>
        <w:tc>
          <w:tcPr>
            <w:tcW w:w="4253" w:type="dxa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 18:00</w:t>
            </w:r>
          </w:p>
        </w:tc>
      </w:tr>
      <w:tr w:rsidR="00392B03">
        <w:tc>
          <w:tcPr>
            <w:tcW w:w="5387" w:type="dxa"/>
          </w:tcPr>
          <w:p w:rsidR="00392B03" w:rsidRDefault="00392B03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92B03" w:rsidRDefault="00392B03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акціонерів, які мають право на участь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загальних зборах акціонерного товариства, складено станом на (далі – Перелік):</w:t>
            </w:r>
          </w:p>
        </w:tc>
        <w:tc>
          <w:tcPr>
            <w:tcW w:w="4253" w:type="dxa"/>
            <w:vAlign w:val="bottom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18.04.2025</w:t>
            </w: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осіб, включених до переліку акціонерів, які мають право на участь у загальних зборах:</w:t>
            </w:r>
          </w:p>
        </w:tc>
        <w:tc>
          <w:tcPr>
            <w:tcW w:w="4253" w:type="dxa"/>
            <w:vAlign w:val="bottom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1537</w:t>
            </w: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кількість голосів акціонерів - власників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голосуючих акцій товариства, які зареєструвалися для участі у Загальних зборах:</w:t>
            </w:r>
          </w:p>
        </w:tc>
        <w:tc>
          <w:tcPr>
            <w:tcW w:w="4253" w:type="dxa"/>
            <w:vAlign w:val="bottom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94000</w:t>
            </w: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загальних зборів:</w:t>
            </w:r>
          </w:p>
        </w:tc>
        <w:tc>
          <w:tcPr>
            <w:tcW w:w="4253" w:type="dxa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Наявний - для участі у зборах зареєструвались акціонери, які сукупно є власниками 94000 шт. голосуючих акцій Товариства, що становить  98,26% 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лосуючих акцій.</w:t>
            </w:r>
          </w:p>
        </w:tc>
      </w:tr>
      <w:tr w:rsidR="00392B03">
        <w:tc>
          <w:tcPr>
            <w:tcW w:w="5387" w:type="dxa"/>
          </w:tcPr>
          <w:p w:rsidR="00392B03" w:rsidRDefault="00392B03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392B03" w:rsidRDefault="00392B03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Головуючий Загальних зборів</w:t>
            </w:r>
          </w:p>
        </w:tc>
        <w:tc>
          <w:tcPr>
            <w:tcW w:w="4253" w:type="dxa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Паламаренко Олександр Володимирович</w:t>
            </w: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Загальних зборів</w:t>
            </w:r>
          </w:p>
        </w:tc>
        <w:tc>
          <w:tcPr>
            <w:tcW w:w="4253" w:type="dxa"/>
          </w:tcPr>
          <w:p w:rsidR="00392B03" w:rsidRDefault="00D17049">
            <w:pPr>
              <w:tabs>
                <w:tab w:val="left" w:pos="900"/>
              </w:tabs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Бичкова Вікторія Михайлівна</w:t>
            </w:r>
          </w:p>
        </w:tc>
      </w:tr>
      <w:tr w:rsidR="00392B03">
        <w:tc>
          <w:tcPr>
            <w:tcW w:w="5387" w:type="dxa"/>
          </w:tcPr>
          <w:p w:rsidR="00392B03" w:rsidRDefault="00D17049">
            <w:pPr>
              <w:tabs>
                <w:tab w:val="left" w:pos="900"/>
              </w:tabs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</w:tc>
        <w:tc>
          <w:tcPr>
            <w:tcW w:w="4253" w:type="dxa"/>
          </w:tcPr>
          <w:p w:rsidR="00392B03" w:rsidRDefault="00392B03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 w:rsidR="00392B03" w:rsidRPr="00D17049" w:rsidRDefault="00D17049">
            <w:pPr>
              <w:tabs>
                <w:tab w:val="left" w:pos="900"/>
              </w:tabs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Паламаренко Олександр Володимирович </w:t>
            </w:r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92B03" w:rsidRDefault="00D17049">
            <w:pPr>
              <w:tabs>
                <w:tab w:val="left" w:pos="900"/>
              </w:tabs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</w:t>
            </w:r>
            <w:proofErr w:type="spellStart"/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Бичкова</w:t>
            </w:r>
            <w:proofErr w:type="spellEnd"/>
            <w:proofErr w:type="gramStart"/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ікторія</w:t>
            </w:r>
            <w:proofErr w:type="spellEnd"/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Михайлівна</w:t>
            </w:r>
            <w:proofErr w:type="spellEnd"/>
            <w:r w:rsidRPr="00D17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392B03" w:rsidRDefault="00392B03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03" w:rsidRDefault="00D17049">
      <w:pPr>
        <w:tabs>
          <w:tab w:val="left" w:pos="900"/>
        </w:tabs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денний загальних зборів</w:t>
      </w:r>
    </w:p>
    <w:p w:rsidR="00392B03" w:rsidRDefault="00392B03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03" w:rsidRPr="00D17049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1.Розгляд звіту Виконавчого органу Товариства про результати фінансово-господарської діяльності Товариства у 2024 році та прийняття рішення за результатами розгляду такого звіту.  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2.Розгляд звіту Наглядової ради Товариства за 2024 рік та прийняття рішення за результатами розгляду такого звіту.   </w:t>
      </w: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3.Розгляд звіту та висновків Ревізійної комісії Товариства за 2024 рік та прийняття рішення за результатами розгляду такого </w:t>
      </w: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звіту.   </w:t>
      </w: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атвердження результатів фінансово-господарської діяльності Товариства за 2024 рік та розподіл прибутку Товариства або затвердження порядку покриття збитків Товариства за 2024 рік.  </w:t>
      </w: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 виплату дивідендів за простими акціями Товариства, затвердження розм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іру річних дивідендів та способу їх виплати.  </w:t>
      </w: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6.Про розгляд значних правочинів вчинених Товариством у 2024 році.  </w:t>
      </w: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7.Про попереднє надання згоди на вчинення значних правочинів.   </w:t>
      </w: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8.Визначення основних напрямків діяльності Товариства на 2025 рік.   </w:t>
      </w:r>
    </w:p>
    <w:p w:rsidR="00392B03" w:rsidRDefault="00392B03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03" w:rsidRDefault="00D17049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умки голосування із зазначенням результатів голосування з кожного питання порядку денного зборів та рішення, прийняті загальними зборами.</w:t>
      </w:r>
    </w:p>
    <w:p w:rsidR="00392B03" w:rsidRDefault="00392B03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:rsidR="00392B03" w:rsidRPr="00D17049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Розгляд звіту Виконавчого органу Товариства про результати фінансово-господарської діяльності Товариства у 2024 році та прийняття рішення за результатами розгляду такого звіту.  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прийняття рішення: Більшістю голосів (від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зареєструвавшихся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2B03" w:rsidRDefault="00392B0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 w:rsidRPr="00D17049">
        <w:rPr>
          <w:rFonts w:eastAsia="Times New Roman" w:cs="Times New Roman"/>
          <w:b/>
          <w:bCs/>
          <w:i/>
          <w:iCs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Взяти до відома та затвердити звіт Виконавчого органу Товариства про результати фінансово-господарської діяльності Товариства у 2024 році. Рішення за результатами розгляду звіту Виконавчого органу Товариства про результати фінансово-госпо</w:t>
      </w:r>
      <w:r>
        <w:rPr>
          <w:rFonts w:ascii="Times New Roman" w:hAnsi="Times New Roman" w:cs="Times New Roman"/>
          <w:sz w:val="24"/>
          <w:szCs w:val="24"/>
        </w:rPr>
        <w:t>дарської діяльності Товариства у 2024 році не приймати.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"ЗА" -  94000 голосів, що становить 100,00%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</w:t>
      </w:r>
      <w:r>
        <w:rPr>
          <w:rFonts w:ascii="Times New Roman" w:hAnsi="Times New Roman" w:cs="Times New Roman"/>
          <w:sz w:val="24"/>
          <w:szCs w:val="24"/>
        </w:rPr>
        <w:t>ТИ" – 0 голосів, що становить 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</w:t>
      </w:r>
      <w:r>
        <w:rPr>
          <w:rFonts w:ascii="Times New Roman" w:hAnsi="Times New Roman" w:cs="Times New Roman"/>
          <w:sz w:val="24"/>
          <w:szCs w:val="24"/>
        </w:rPr>
        <w:t>осів акціонерів за бюлетенями, визнаними недійсними - 0 голосів.</w:t>
      </w:r>
    </w:p>
    <w:p w:rsidR="00392B03" w:rsidRDefault="00D17049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92B03" w:rsidRPr="00D17049" w:rsidRDefault="00D17049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Вирішили</w:t>
      </w:r>
      <w:proofErr w:type="spellEnd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Взяти до відома та затвердити звіт Виконавчого органу Товариства про результати фінансово-господарської діяльності Товариства у 2024 році. Рішення за </w:t>
      </w:r>
      <w:r>
        <w:rPr>
          <w:rFonts w:ascii="Times New Roman" w:hAnsi="Times New Roman" w:cs="Times New Roman"/>
          <w:sz w:val="24"/>
          <w:szCs w:val="24"/>
        </w:rPr>
        <w:lastRenderedPageBreak/>
        <w:t>результатам</w:t>
      </w:r>
      <w:r>
        <w:rPr>
          <w:rFonts w:ascii="Times New Roman" w:hAnsi="Times New Roman" w:cs="Times New Roman"/>
          <w:sz w:val="24"/>
          <w:szCs w:val="24"/>
        </w:rPr>
        <w:t>и розгляду звіту Виконавчого органу Товариства про результати фінансово-господарської діяльності Товариства у 2024 році не приймати.</w:t>
      </w:r>
      <w:r w:rsidRPr="00D170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92B03" w:rsidRDefault="00392B03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:rsidR="00392B03" w:rsidRPr="00D17049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Розгляд звіту Наглядової ради Товариства за 2024 рік та прийняття рішення за результатами розгляду такого звіту.  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прийняття рішення: Більшістю голосів (від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зареєструвавшихся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2B03" w:rsidRDefault="00392B0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 w:rsidRPr="00D17049">
        <w:rPr>
          <w:rFonts w:eastAsia="Times New Roman" w:cs="Times New Roman"/>
          <w:b/>
          <w:bCs/>
          <w:i/>
          <w:iCs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Взяти до відома та затвердити звіт Наглядової ради То</w:t>
      </w:r>
      <w:r>
        <w:rPr>
          <w:rFonts w:ascii="Times New Roman" w:hAnsi="Times New Roman" w:cs="Times New Roman"/>
          <w:sz w:val="24"/>
          <w:szCs w:val="24"/>
        </w:rPr>
        <w:t>вариства за 2024 рік. Рішення за результатами розгляду звіту Наглядової ради Товариства за 2024 рік не приймати.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"ЗА" -  94000 голосів, що становить 100,00% кількості голосів акціонерів, які зареєструвалися для участі у загальних збор</w:t>
      </w:r>
      <w:r>
        <w:rPr>
          <w:rFonts w:ascii="Times New Roman" w:hAnsi="Times New Roman" w:cs="Times New Roman"/>
          <w:sz w:val="24"/>
          <w:szCs w:val="24"/>
        </w:rPr>
        <w:t>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</w:t>
      </w:r>
      <w:r>
        <w:rPr>
          <w:rFonts w:ascii="Times New Roman" w:hAnsi="Times New Roman" w:cs="Times New Roman"/>
          <w:sz w:val="24"/>
          <w:szCs w:val="24"/>
        </w:rPr>
        <w:t xml:space="preserve"> не брали участі у голосуванні – 0 голосів.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 - 0 голосів.</w:t>
      </w:r>
    </w:p>
    <w:p w:rsidR="00392B03" w:rsidRDefault="00D17049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92B03" w:rsidRPr="00D17049" w:rsidRDefault="00D17049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Вирішили</w:t>
      </w:r>
      <w:proofErr w:type="spellEnd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Взяти до відома та затвердити звіт Наглядової ради Товариства за 2024 рік. Рішення за результатами </w:t>
      </w:r>
      <w:r>
        <w:rPr>
          <w:rFonts w:ascii="Times New Roman" w:hAnsi="Times New Roman" w:cs="Times New Roman"/>
          <w:sz w:val="24"/>
          <w:szCs w:val="24"/>
        </w:rPr>
        <w:t>розгляду звіту Наглядової ради Товариства за 2024 рік не приймати.</w:t>
      </w:r>
      <w:r w:rsidRPr="00D170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92B03" w:rsidRDefault="00392B03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Розгляд звіту та висновків Ревізійної комісії Товариства за 2024 рік та прийняття рішення за результатами розгляду такого </w:t>
      </w:r>
    </w:p>
    <w:p w:rsidR="00392B03" w:rsidRPr="00D17049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звіту.  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прийняття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рішення: Більшістю голосів (від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зареєструвавшихся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2B03" w:rsidRDefault="00392B0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 w:rsidRPr="00D17049">
        <w:rPr>
          <w:rFonts w:eastAsia="Times New Roman" w:cs="Times New Roman"/>
          <w:b/>
          <w:bCs/>
          <w:i/>
          <w:iCs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Взяти до відома та затвердити звіт та висновки Ревізійної комісії Товариства за 2024 рік. Рішення за результатами розгляду звіту Ревізійної комісії Товариства за 2024 рік не приймати.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"ЗА" -  94000 голосів, що становить 100,00%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</w:t>
      </w:r>
      <w:r>
        <w:rPr>
          <w:rFonts w:ascii="Times New Roman" w:hAnsi="Times New Roman" w:cs="Times New Roman"/>
          <w:sz w:val="24"/>
          <w:szCs w:val="24"/>
        </w:rPr>
        <w:t>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голосів акціонерів за бюлетенями, визнаними недійсними - 0 </w:t>
      </w:r>
      <w:r>
        <w:rPr>
          <w:rFonts w:ascii="Times New Roman" w:hAnsi="Times New Roman" w:cs="Times New Roman"/>
          <w:sz w:val="24"/>
          <w:szCs w:val="24"/>
        </w:rPr>
        <w:t>голосів.</w:t>
      </w:r>
    </w:p>
    <w:p w:rsidR="00392B03" w:rsidRDefault="00D17049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92B03" w:rsidRPr="00D17049" w:rsidRDefault="00D17049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Вирішили</w:t>
      </w:r>
      <w:proofErr w:type="spellEnd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Взяти до відома та затвердити звіт та висновки Ревізійної комісії Товариства за 2024 рік. Рішення за результатами розгляду звіту Ревізійної комісії Товариства за 2024 рік не приймати.</w:t>
      </w:r>
      <w:r w:rsidRPr="00D170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92B03" w:rsidRDefault="00392B03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</w:t>
      </w:r>
      <w:r>
        <w:rPr>
          <w:rFonts w:ascii="Times New Roman" w:hAnsi="Times New Roman" w:cs="Times New Roman"/>
          <w:b/>
          <w:bCs/>
          <w:sz w:val="24"/>
          <w:szCs w:val="24"/>
        </w:rPr>
        <w:t>ня:</w:t>
      </w:r>
    </w:p>
    <w:p w:rsidR="00392B03" w:rsidRPr="00D17049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результатів фінансово-господарської діяльності Товариства за 2024 рік та розподіл прибутку Товариства або затвердження порядку покриття збитків Товариства за 2024 рік. 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прийняття рішення: Більшістю голосів (від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зареєструвавшихся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2B03" w:rsidRDefault="00392B0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 w:rsidRPr="00D17049">
        <w:rPr>
          <w:rFonts w:eastAsia="Times New Roman" w:cs="Times New Roman"/>
          <w:b/>
          <w:bCs/>
          <w:i/>
          <w:iCs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річну фінансову звітність Товариства за 2024 рік. Затвердити як результат фінансово-господарської діяльності Товариства за 2024 рік чистий прибуток Товариства в сумі 7 320 447,00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(сім мільйонів триста двадцять тисяч чотир</w:t>
      </w:r>
      <w:r>
        <w:rPr>
          <w:rFonts w:ascii="Times New Roman" w:hAnsi="Times New Roman" w:cs="Times New Roman"/>
          <w:sz w:val="24"/>
          <w:szCs w:val="24"/>
        </w:rPr>
        <w:t xml:space="preserve">иста сорок сім гривень 00 копійок). Затвердити наступний порядок розподілу прибутку за результатами фінансово-господарської діяльності Товариства за 2024 рік: - чистий прибуток Товариства у розмірі 3 658 451,40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(три мільйони шістсот п’ятдесят вісім тис</w:t>
      </w:r>
      <w:r>
        <w:rPr>
          <w:rFonts w:ascii="Times New Roman" w:hAnsi="Times New Roman" w:cs="Times New Roman"/>
          <w:sz w:val="24"/>
          <w:szCs w:val="24"/>
        </w:rPr>
        <w:t xml:space="preserve">яч чотириста п’ятдесят одна гривня 40 копійок) спрямувати на розвиток підприємницької діяльності Товариства; - чистий прибуток Товариства у розмірі 3 661 995,60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(три мільйони шістсот шістдесят одна тисяча дев’ятсот дев’яносто п’ять гривень 60 копійок) </w:t>
      </w:r>
      <w:r>
        <w:rPr>
          <w:rFonts w:ascii="Times New Roman" w:hAnsi="Times New Roman" w:cs="Times New Roman"/>
          <w:sz w:val="24"/>
          <w:szCs w:val="24"/>
        </w:rPr>
        <w:t>спрямувати на виплату дивідендів.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"ЗА" -  94000 голосів, що становить 100,00%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</w:t>
      </w:r>
      <w:r>
        <w:rPr>
          <w:rFonts w:ascii="Times New Roman" w:hAnsi="Times New Roman" w:cs="Times New Roman"/>
          <w:sz w:val="24"/>
          <w:szCs w:val="24"/>
        </w:rPr>
        <w:t>ановить 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</w:t>
      </w:r>
      <w:r>
        <w:rPr>
          <w:rFonts w:ascii="Times New Roman" w:hAnsi="Times New Roman" w:cs="Times New Roman"/>
          <w:sz w:val="24"/>
          <w:szCs w:val="24"/>
        </w:rPr>
        <w:t>етенями, визнаними недійсними - 0 голосів.</w:t>
      </w:r>
    </w:p>
    <w:p w:rsidR="00392B03" w:rsidRDefault="00D17049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92B03" w:rsidRPr="00D17049" w:rsidRDefault="00D17049">
      <w:pPr>
        <w:spacing w:after="40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Вирішили</w:t>
      </w:r>
      <w:proofErr w:type="spellEnd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Затвердити річну фінансову звітність Товариства за 2024 рік. Затвердити як результат фінансово-господарської діяльності Товариства за 2024 рік чистий прибуток Товариства в сумі 7 320 </w:t>
      </w:r>
      <w:r>
        <w:rPr>
          <w:rFonts w:ascii="Times New Roman" w:hAnsi="Times New Roman" w:cs="Times New Roman"/>
          <w:sz w:val="24"/>
          <w:szCs w:val="24"/>
        </w:rPr>
        <w:t xml:space="preserve">447,00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(сім мільйонів триста двадцять тисяч чотириста сорок сім гривень 00 копійок). Затвердити наступний порядок розподілу прибутку за результатами фінансово-господарської діяльності Товариства за 2024 рік: - чистий прибуток Товариства у розмірі 3 658</w:t>
      </w:r>
      <w:r>
        <w:rPr>
          <w:rFonts w:ascii="Times New Roman" w:hAnsi="Times New Roman" w:cs="Times New Roman"/>
          <w:sz w:val="24"/>
          <w:szCs w:val="24"/>
        </w:rPr>
        <w:t xml:space="preserve"> 451,40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(три мільйони шістсот п’ятдесят вісім тисяч чотириста п’ятдесят одна гривня 40 копійок) спрямувати на розвиток підприємницької діяльності Товариства; - чистий прибуток Товариства у розмірі 3 661 995,60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(три мільйони шістсот шістдесят одна т</w:t>
      </w:r>
      <w:r>
        <w:rPr>
          <w:rFonts w:ascii="Times New Roman" w:hAnsi="Times New Roman" w:cs="Times New Roman"/>
          <w:sz w:val="24"/>
          <w:szCs w:val="24"/>
        </w:rPr>
        <w:t>исяча дев’ятсот дев’яносто п’ять гривень 60 копійок) спрямувати на виплату дивідендів.</w:t>
      </w:r>
      <w:r w:rsidRPr="00D170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92B03" w:rsidRPr="00D17049" w:rsidRDefault="00392B03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:rsidR="00392B03" w:rsidRPr="00D17049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виплату дивідендів за простими акціями Товариства, затвердження розміру річних дивідендів та способу їх виплати. 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прийняття рішення: Більшістю голосів (від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зареєструвавшихся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2B03" w:rsidRDefault="00392B0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 w:rsidRPr="00D17049">
        <w:rPr>
          <w:rFonts w:eastAsia="Times New Roman" w:cs="Times New Roman"/>
          <w:b/>
          <w:bCs/>
          <w:i/>
          <w:iCs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виплату дивідендів за простими іменними акціями Товариства за 2024 рік. Затвердити суму річних дивідендів за простими іменними акціями у розмірі 3 661 995,60 грн. (три</w:t>
      </w:r>
      <w:r>
        <w:rPr>
          <w:rFonts w:ascii="Times New Roman" w:hAnsi="Times New Roman" w:cs="Times New Roman"/>
          <w:sz w:val="24"/>
          <w:szCs w:val="24"/>
        </w:rPr>
        <w:t xml:space="preserve"> мільйони шістсот шістдесят одна тисяча дев’ятсот дев’яносто п’ять гривень 60 копійок). Дивіденд, який припадає на одну просту іменну акцію з дивідендної суми складає 20,70 грн. Виплату дивідендів здійснити безпосередньо акціонерам в порядку, визначеному ч</w:t>
      </w:r>
      <w:r>
        <w:rPr>
          <w:rFonts w:ascii="Times New Roman" w:hAnsi="Times New Roman" w:cs="Times New Roman"/>
          <w:sz w:val="24"/>
          <w:szCs w:val="24"/>
        </w:rPr>
        <w:t>инним законодавством України та Статутом Товариства. Строк виплати дивідендів, не може перевищувати 6 (шести) місяців з дня прийняття цими річними Загальними зборами Товариства рішення про їх виплату.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"ЗА" -  94000 голосів, що станови</w:t>
      </w:r>
      <w:r>
        <w:rPr>
          <w:rFonts w:ascii="Times New Roman" w:hAnsi="Times New Roman" w:cs="Times New Roman"/>
          <w:sz w:val="24"/>
          <w:szCs w:val="24"/>
        </w:rPr>
        <w:t>ть 100,00%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</w:t>
      </w:r>
      <w:r>
        <w:rPr>
          <w:rFonts w:ascii="Times New Roman" w:hAnsi="Times New Roman" w:cs="Times New Roman"/>
          <w:sz w:val="24"/>
          <w:szCs w:val="24"/>
        </w:rPr>
        <w:t>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 - 0 голосів.</w:t>
      </w:r>
    </w:p>
    <w:p w:rsidR="00392B03" w:rsidRDefault="00D17049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92B03" w:rsidRPr="00D17049" w:rsidRDefault="00D17049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Вирішили:  </w:t>
      </w:r>
      <w:r>
        <w:rPr>
          <w:rFonts w:ascii="Times New Roman" w:hAnsi="Times New Roman" w:cs="Times New Roman"/>
          <w:sz w:val="24"/>
          <w:szCs w:val="24"/>
        </w:rPr>
        <w:t>Провести виплату</w:t>
      </w:r>
      <w:r>
        <w:rPr>
          <w:rFonts w:ascii="Times New Roman" w:hAnsi="Times New Roman" w:cs="Times New Roman"/>
          <w:sz w:val="24"/>
          <w:szCs w:val="24"/>
        </w:rPr>
        <w:t xml:space="preserve"> дивідендів за простими іменними акціями Товариства за 2024 рік. Затвердити суму річних дивідендів за простими іменними акціями у розмірі 3 661 995,60 грн. (три мільйони шістсот шістдесят одна тисяча дев’ятсот дев’яносто п’ять гривень 60 копійок). Дивіденд</w:t>
      </w:r>
      <w:r>
        <w:rPr>
          <w:rFonts w:ascii="Times New Roman" w:hAnsi="Times New Roman" w:cs="Times New Roman"/>
          <w:sz w:val="24"/>
          <w:szCs w:val="24"/>
        </w:rPr>
        <w:t>, який припадає на одну просту іменну акцію з дивідендної суми складає 20,70 грн. Виплату дивідендів здійснити безпосередньо акціонерам в порядку, визначеному чинним законодавством України та Статутом Товариства. Строк виплати дивідендів, не може перевищув</w:t>
      </w:r>
      <w:r>
        <w:rPr>
          <w:rFonts w:ascii="Times New Roman" w:hAnsi="Times New Roman" w:cs="Times New Roman"/>
          <w:sz w:val="24"/>
          <w:szCs w:val="24"/>
        </w:rPr>
        <w:t>ати 6 (шести) місяців з дня прийняття цими річними Загальними зборами Товариства рішення про їх виплату.</w:t>
      </w:r>
      <w:r w:rsidRPr="00D170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92B03" w:rsidRDefault="00392B03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:rsidR="00392B03" w:rsidRPr="00D17049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розгляд значних правочинів вчинених Товариством у 2024 році. 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прийняття рішення: Інше (більше ніж)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голосуючих) 50%</w:t>
      </w:r>
    </w:p>
    <w:p w:rsidR="00392B03" w:rsidRDefault="00392B0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 w:rsidRPr="00D17049">
        <w:rPr>
          <w:rFonts w:eastAsia="Times New Roman" w:cs="Times New Roman"/>
          <w:b/>
          <w:bCs/>
          <w:i/>
          <w:iCs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Схвалити вчинення Товариством у 2024 році значних правочинів, вартість предмета яких становить від 10% до 25% вартості активів, за даними річної фінансової звітності Товариства за 2023 рік, а саме з: ТОВ «АЛЬЯНС ПАК ТРЕЙД» – 3 841 493,75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Кетцаль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3 626 790,86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ТОВ «Луцька картонно-паперова фабрика» – 6 070 888,78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Маст-Еко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5 658 162,72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ТОВ «НАШ ПАПІР ПЛЮС» - 8 134 118,11грн; ТОВ «КИЇВСЬКА ОБЛАСНА ЕК» - 4 348 394,70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МПП «БУКРЕК» -      4 438 446,24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ДП «ВСВ «СВІТ» - </w:t>
      </w:r>
      <w:r>
        <w:rPr>
          <w:rFonts w:ascii="Times New Roman" w:hAnsi="Times New Roman" w:cs="Times New Roman"/>
          <w:sz w:val="24"/>
          <w:szCs w:val="24"/>
        </w:rPr>
        <w:t>5 187 702,93 грн. Схвалити вчинення Товариством у 2024 році значних правочинів, вартість предмета яких перевищує 25%, але менша ніж 50% вартості активів, за даними річної фінансової звітності Товариства за 2023 рік, а саме з: ТОВ «А-БА-БА-ГА-ЛА-МА-ГА» - 10</w:t>
      </w:r>
      <w:r>
        <w:rPr>
          <w:rFonts w:ascii="Times New Roman" w:hAnsi="Times New Roman" w:cs="Times New Roman"/>
          <w:sz w:val="24"/>
          <w:szCs w:val="24"/>
        </w:rPr>
        <w:t xml:space="preserve"> 712 900,00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ДП «КК «КЛУБ СІМЕЙНОГО ДОЗВІЛЛЯ» - 11 496 090,00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ТОВ «НАШ ФОРМАТ» - 15 524 240,00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ТОВ «ЮРКА ЛЮЧЕНКА» - 15 636 320,00 грн. Схвалити вчинення Товариством у 2024 році значних правочинів, вартість предмета яких становить 50 і більше </w:t>
      </w:r>
      <w:r>
        <w:rPr>
          <w:rFonts w:ascii="Times New Roman" w:hAnsi="Times New Roman" w:cs="Times New Roman"/>
          <w:sz w:val="24"/>
          <w:szCs w:val="24"/>
        </w:rPr>
        <w:t xml:space="preserve">відсотків вартості активів, за даними річної фінансової звітності Товариства за 2023 рік, а саме з: ТОВ «ВИДАВНИЦТВО СТАРОГО ЛЕВА» - 21 746 650,00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ТОВ «КМ БУКС» - 18 221 800,00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«СЕРВІСОПТОРГ» - 22 681 561,27 грн.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</w:t>
      </w:r>
      <w:r>
        <w:rPr>
          <w:rFonts w:ascii="Times New Roman" w:hAnsi="Times New Roman" w:cs="Times New Roman"/>
          <w:sz w:val="24"/>
          <w:szCs w:val="24"/>
        </w:rPr>
        <w:t xml:space="preserve"> 94000 голосів, що становить 98,25% голосів акціонерів від їх загальної кількості.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голосів акціонерів від їх загальної кількості.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</w:t>
      </w:r>
      <w:r>
        <w:rPr>
          <w:rFonts w:ascii="Times New Roman" w:hAnsi="Times New Roman" w:cs="Times New Roman"/>
          <w:sz w:val="24"/>
          <w:szCs w:val="24"/>
        </w:rPr>
        <w:t xml:space="preserve"> голосів акціонерів за бюлетенями, визнаними недійсними - 0 голосів.</w:t>
      </w:r>
    </w:p>
    <w:p w:rsidR="00392B03" w:rsidRDefault="00D17049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 w:rsidRPr="00D17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92B03" w:rsidRPr="00D17049" w:rsidRDefault="00D17049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D17049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 </w:t>
      </w:r>
      <w:r>
        <w:rPr>
          <w:rFonts w:ascii="Times New Roman" w:hAnsi="Times New Roman" w:cs="Times New Roman"/>
          <w:sz w:val="24"/>
          <w:szCs w:val="24"/>
        </w:rPr>
        <w:t>Схвалити вчинення Товариством у 2024 році значних правочинів, вартість предмета яких становить від 10% до 25% вартості активів, за даними річної фінансової з</w:t>
      </w:r>
      <w:r>
        <w:rPr>
          <w:rFonts w:ascii="Times New Roman" w:hAnsi="Times New Roman" w:cs="Times New Roman"/>
          <w:sz w:val="24"/>
          <w:szCs w:val="24"/>
        </w:rPr>
        <w:t xml:space="preserve">вітності Товариства за 2023 рік, а саме з: ТОВ «АЛЬЯНС ПАК ТРЕЙД» – 3 841 493,75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Кетцаль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3 626 790,86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ТОВ «Луцька картонно-паперова фабрика» – 6 070 888,78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Маст-Еко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5 658 162,72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«НАШ ПАПІР ПЛЮС» - 8 134 118,11грн; ТО</w:t>
      </w:r>
      <w:r>
        <w:rPr>
          <w:rFonts w:ascii="Times New Roman" w:hAnsi="Times New Roman" w:cs="Times New Roman"/>
          <w:sz w:val="24"/>
          <w:szCs w:val="24"/>
        </w:rPr>
        <w:t xml:space="preserve">В «КИЇВСЬКА ОБЛАСНА ЕК» - 4 348 394,70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МПП «БУКРЕК» -      4 438 446,24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ДП «ВСВ «СВІТ» - 5 187 702,93 грн. Схвалити вчинення Товариством у 2024 році значних правочинів, вартість предмета яких перевищує 25%, але менша ніж 50% вартості активів, за </w:t>
      </w:r>
      <w:r>
        <w:rPr>
          <w:rFonts w:ascii="Times New Roman" w:hAnsi="Times New Roman" w:cs="Times New Roman"/>
          <w:sz w:val="24"/>
          <w:szCs w:val="24"/>
        </w:rPr>
        <w:t xml:space="preserve">даними річної фінансової звітності Товариства за 2023 рік, а саме з: ТОВ «А-БА-БА-ГА-ЛА-МА-ГА» - 10 712 900,00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ДП «КК «КЛУБ СІМЕЙНОГО ДОЗВІЛЛЯ» - 11 496 090,00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ТОВ «НАШ ФОРМАТ» - 15 524 240,00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«ЮРКА ЛЮЧЕНКА» - 15 636 320,00 грн. Схвалити</w:t>
      </w:r>
      <w:r>
        <w:rPr>
          <w:rFonts w:ascii="Times New Roman" w:hAnsi="Times New Roman" w:cs="Times New Roman"/>
          <w:sz w:val="24"/>
          <w:szCs w:val="24"/>
        </w:rPr>
        <w:t xml:space="preserve"> вчинення Товариством у 2024 році значних правочинів, вартість предмета яких становить 50 і більше відсотків вартості активів, за даними річної фінансової звітності Товариства за 2023 рік, а саме з: 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«ВИДАВНИЦТВО СТАРОГО ЛЕВА» - 21 746 650,00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</w:t>
      </w:r>
      <w:r>
        <w:rPr>
          <w:rFonts w:ascii="Times New Roman" w:hAnsi="Times New Roman" w:cs="Times New Roman"/>
          <w:sz w:val="24"/>
          <w:szCs w:val="24"/>
        </w:rPr>
        <w:t xml:space="preserve">КМ БУКС» - 18 221 800,00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</w:rPr>
        <w:t>; ТОВ «СЕРВІСОПТОРГ» - 22 681 561,27 грн.</w:t>
      </w:r>
      <w:r w:rsidRPr="00D170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92B03" w:rsidRDefault="00392B03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:rsidR="00392B03" w:rsidRPr="00D17049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попереднє надання згоди на вчинення значних правочинів.  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прийняття рішення: Інше (більше ніж) (від голосуючих) 50%</w:t>
      </w:r>
    </w:p>
    <w:p w:rsidR="00392B03" w:rsidRDefault="00392B0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 w:rsidRPr="00D17049">
        <w:rPr>
          <w:rFonts w:eastAsia="Times New Roman" w:cs="Times New Roman"/>
          <w:b/>
          <w:bCs/>
          <w:i/>
          <w:iCs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Попередньо надати згоду Товариству на вчинення значних правочинів(кредитних угод, договорів застави/іпотеки, поставки, комісії, безвідсоткової поворотної фінансової допомоги, купівлі-продажу, оренди, поруки, зберігання тощо та відповідних додаткових угод д</w:t>
      </w:r>
      <w:r>
        <w:rPr>
          <w:rFonts w:ascii="Times New Roman" w:hAnsi="Times New Roman" w:cs="Times New Roman"/>
          <w:sz w:val="24"/>
          <w:szCs w:val="24"/>
        </w:rPr>
        <w:t>о таких договорів, а також правочинів у рамках провадження звичайної господарської діяльності Товариства), які будуть вчинені Товариством протягом року з моменту проведення цих річних Загальних зборів Товариства, вартість предмету яких перевищує 10 % варто</w:t>
      </w:r>
      <w:r>
        <w:rPr>
          <w:rFonts w:ascii="Times New Roman" w:hAnsi="Times New Roman" w:cs="Times New Roman"/>
          <w:sz w:val="24"/>
          <w:szCs w:val="24"/>
        </w:rPr>
        <w:t xml:space="preserve">сті активів за даними річної фінансової звітності Товариства за 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рік.Встановити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що Товариство має право вчиняти значні правочини щодо яких Загальними зборами Товариства попередньо надано згоду на їх вчинення, за рішенням генерального директора Товарис</w:t>
      </w:r>
      <w:r>
        <w:rPr>
          <w:rFonts w:ascii="Times New Roman" w:hAnsi="Times New Roman" w:cs="Times New Roman"/>
          <w:sz w:val="24"/>
          <w:szCs w:val="24"/>
        </w:rPr>
        <w:t>тва без отримання додаткового погодження Наглядової ради Товариства, за умови, що Товариством отримано усі необхідні ліцензії/дозволи та такі правочини вчиняються з дотриманням ліцензійних умов чи інших встановлених обмежень/зобов’язань.   На підписання зн</w:t>
      </w:r>
      <w:r>
        <w:rPr>
          <w:rFonts w:ascii="Times New Roman" w:hAnsi="Times New Roman" w:cs="Times New Roman"/>
          <w:sz w:val="24"/>
          <w:szCs w:val="24"/>
        </w:rPr>
        <w:t>ачних правочинів від імені Товариства уповноважити генерального директора Товариства.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"ЗА" -  94000 голосів, що становить 98,25% голосів акціонерів від їх загальної кількості.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голосів акціонерів</w:t>
      </w:r>
      <w:r>
        <w:rPr>
          <w:rFonts w:ascii="Times New Roman" w:hAnsi="Times New Roman" w:cs="Times New Roman"/>
          <w:sz w:val="24"/>
          <w:szCs w:val="24"/>
        </w:rPr>
        <w:t xml:space="preserve"> від їх загальної кількості.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 - 0 голосів.</w:t>
      </w:r>
    </w:p>
    <w:p w:rsidR="00392B03" w:rsidRDefault="00D17049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92B03" w:rsidRPr="00D17049" w:rsidRDefault="00D17049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Вирішили:  </w:t>
      </w:r>
      <w:r>
        <w:rPr>
          <w:rFonts w:ascii="Times New Roman" w:hAnsi="Times New Roman" w:cs="Times New Roman"/>
          <w:sz w:val="24"/>
          <w:szCs w:val="24"/>
        </w:rPr>
        <w:t>Попередньо надати згоду Товариству на вчин</w:t>
      </w:r>
      <w:r>
        <w:rPr>
          <w:rFonts w:ascii="Times New Roman" w:hAnsi="Times New Roman" w:cs="Times New Roman"/>
          <w:sz w:val="24"/>
          <w:szCs w:val="24"/>
        </w:rPr>
        <w:t>ення значних правочинів(кредитних угод, договорів застави/іпотеки, поставки, комісії, безвідсоткової поворотної фінансової допомоги, купівлі-продажу, оренди, поруки, зберігання тощо та відповідних додаткових угод до таких договорів, а також правочинів у ра</w:t>
      </w:r>
      <w:r>
        <w:rPr>
          <w:rFonts w:ascii="Times New Roman" w:hAnsi="Times New Roman" w:cs="Times New Roman"/>
          <w:sz w:val="24"/>
          <w:szCs w:val="24"/>
        </w:rPr>
        <w:t>мках провадження звичайної господарської діяльності Товариства), які будуть вчинені Товариством протягом року з моменту проведення цих річних Загальних зборів Товариства, вартість предмету яких перевищує 10 % вартості активів за даними річної фінансової зв</w:t>
      </w:r>
      <w:r>
        <w:rPr>
          <w:rFonts w:ascii="Times New Roman" w:hAnsi="Times New Roman" w:cs="Times New Roman"/>
          <w:sz w:val="24"/>
          <w:szCs w:val="24"/>
        </w:rPr>
        <w:t xml:space="preserve">ітності Товариства за 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рік.Встановити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що Товариство має право вчиняти значні правочини щодо яких Загальними зборами Товариства попередньо надано згоду на їх вчинення, за рішенням генерального директора Товариства без отримання додаткового погодження Н</w:t>
      </w:r>
      <w:r>
        <w:rPr>
          <w:rFonts w:ascii="Times New Roman" w:hAnsi="Times New Roman" w:cs="Times New Roman"/>
          <w:sz w:val="24"/>
          <w:szCs w:val="24"/>
        </w:rPr>
        <w:t>аглядової ради Товариства, за умови, що Товариством отримано усі необхідні ліцензії/дозволи та такі правочини вчиняються з дотриманням ліцензійних умов чи інших встановлених обмежень/зобов’язань.   На підписання значних правочинів від імені Товариства упов</w:t>
      </w:r>
      <w:r>
        <w:rPr>
          <w:rFonts w:ascii="Times New Roman" w:hAnsi="Times New Roman" w:cs="Times New Roman"/>
          <w:sz w:val="24"/>
          <w:szCs w:val="24"/>
        </w:rPr>
        <w:t>новажити генерального директора Товариства.</w:t>
      </w:r>
      <w:r w:rsidRPr="00D1704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392B03" w:rsidRDefault="00392B03">
      <w:pPr>
        <w:tabs>
          <w:tab w:val="left" w:pos="851"/>
        </w:tabs>
        <w:spacing w:before="40" w:after="40" w:line="240" w:lineRule="auto"/>
        <w:ind w:left="-284" w:firstLine="5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Питання, винесене на голосування:</w:t>
      </w:r>
    </w:p>
    <w:p w:rsidR="00392B03" w:rsidRPr="00D17049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170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основних напрямків діяльності Товариства на 2025 рік.  </w:t>
      </w:r>
    </w:p>
    <w:p w:rsidR="00392B03" w:rsidRDefault="00D17049">
      <w:pPr>
        <w:widowControl w:val="0"/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Правило прийняття рішення: Більшістю голосів (від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зареєструвавшихся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2B03" w:rsidRDefault="00392B0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392B03" w:rsidRDefault="00D17049">
      <w:p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рішення </w:t>
      </w:r>
      <w:r w:rsidRPr="00D17049">
        <w:rPr>
          <w:rFonts w:eastAsia="Times New Roman" w:cs="Times New Roman"/>
          <w:b/>
          <w:bCs/>
          <w:i/>
          <w:iCs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Визначити та </w:t>
      </w:r>
      <w:r>
        <w:rPr>
          <w:rFonts w:ascii="Times New Roman" w:hAnsi="Times New Roman" w:cs="Times New Roman"/>
          <w:sz w:val="24"/>
          <w:szCs w:val="24"/>
        </w:rPr>
        <w:t>затвердити запропоновані генеральним директором Товариства основні напрямки діяльності Товариства на 2025 рік.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"ЗА" -  94000 голосів, що становить 100,00% кількості голосів акціонерів, які зареєструвалися для участі у загальних зборах</w:t>
      </w:r>
      <w:r>
        <w:rPr>
          <w:rFonts w:ascii="Times New Roman" w:hAnsi="Times New Roman" w:cs="Times New Roman"/>
          <w:sz w:val="24"/>
          <w:szCs w:val="24"/>
        </w:rPr>
        <w:t xml:space="preserve">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</w:t>
      </w:r>
      <w:r>
        <w:rPr>
          <w:rFonts w:ascii="Times New Roman" w:hAnsi="Times New Roman" w:cs="Times New Roman"/>
          <w:sz w:val="24"/>
          <w:szCs w:val="24"/>
        </w:rPr>
        <w:t>е брали участі у голосуванні – 0 голосів.</w:t>
      </w:r>
    </w:p>
    <w:p w:rsidR="00392B03" w:rsidRDefault="00D17049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 - 0 голосів.</w:t>
      </w:r>
    </w:p>
    <w:p w:rsidR="00392B03" w:rsidRDefault="00D17049">
      <w:pPr>
        <w:spacing w:after="8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Рішення прийнято.</w:t>
      </w:r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392B03" w:rsidRPr="00D17049" w:rsidRDefault="00D17049">
      <w:pPr>
        <w:spacing w:after="40"/>
        <w:ind w:left="-142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42853532"/>
      <w:r w:rsidRPr="00D170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Вирішили:  </w:t>
      </w:r>
      <w:r>
        <w:rPr>
          <w:rFonts w:ascii="Times New Roman" w:hAnsi="Times New Roman" w:cs="Times New Roman"/>
          <w:sz w:val="24"/>
          <w:szCs w:val="24"/>
        </w:rPr>
        <w:t xml:space="preserve">Визначити та затвердити запропоновані генеральним директором Товариства основні напрямки діяльності </w:t>
      </w:r>
      <w:r>
        <w:rPr>
          <w:rFonts w:ascii="Times New Roman" w:hAnsi="Times New Roman" w:cs="Times New Roman"/>
          <w:sz w:val="24"/>
          <w:szCs w:val="24"/>
        </w:rPr>
        <w:t>Товариства на 2025 рік.</w:t>
      </w:r>
      <w:r w:rsidRPr="00D17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1"/>
      <w:r w:rsidRPr="00D17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92B03" w:rsidRPr="00D17049" w:rsidRDefault="00D17049">
      <w:pPr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17049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92B03" w:rsidRPr="00D17049" w:rsidRDefault="00392B03">
      <w:pPr>
        <w:spacing w:line="256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f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92B03">
        <w:tc>
          <w:tcPr>
            <w:tcW w:w="9639" w:type="dxa"/>
          </w:tcPr>
          <w:p w:rsidR="00392B03" w:rsidRDefault="00D17049">
            <w:pPr>
              <w:tabs>
                <w:tab w:val="left" w:pos="851"/>
              </w:tabs>
              <w:spacing w:before="40" w:after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33252576" w:colFirst="0" w:colLast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документ засвідчено електронною печаткою Центрального депозитарію цінних паперів.</w:t>
            </w:r>
          </w:p>
          <w:p w:rsidR="00392B03" w:rsidRDefault="00392B03">
            <w:pPr>
              <w:tabs>
                <w:tab w:val="left" w:pos="851"/>
              </w:tabs>
              <w:spacing w:before="40" w:after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B03" w:rsidRDefault="00D17049">
            <w:pPr>
              <w:tabs>
                <w:tab w:val="left" w:pos="851"/>
              </w:tabs>
              <w:spacing w:before="40" w:after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Цей Протокол загальних зборів акціонерів складено в дату і час його підписання головуючим і секретарем Загальних зборів. Інформація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 та час підписання Протоколу загальних зборів акціонерів шляхом накладення електронного підпису розкривається при перевірці електронного підпису.</w:t>
            </w:r>
          </w:p>
        </w:tc>
      </w:tr>
      <w:bookmarkEnd w:id="2"/>
    </w:tbl>
    <w:p w:rsidR="00392B03" w:rsidRDefault="00392B03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03" w:rsidRDefault="00392B03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827"/>
        <w:gridCol w:w="3115"/>
      </w:tblGrid>
      <w:tr w:rsidR="00392B03">
        <w:tc>
          <w:tcPr>
            <w:tcW w:w="3403" w:type="dxa"/>
          </w:tcPr>
          <w:p w:rsidR="00392B03" w:rsidRDefault="00392B03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392B03" w:rsidRDefault="00392B03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392B03" w:rsidRDefault="00392B03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03">
        <w:tc>
          <w:tcPr>
            <w:tcW w:w="3403" w:type="dxa"/>
          </w:tcPr>
          <w:p w:rsidR="00392B03" w:rsidRDefault="00D1704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Головуючий Загальних зборів</w:t>
            </w:r>
          </w:p>
        </w:tc>
        <w:tc>
          <w:tcPr>
            <w:tcW w:w="2827" w:type="dxa"/>
          </w:tcPr>
          <w:p w:rsidR="00392B03" w:rsidRDefault="00392B03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 w:rsidR="00392B03" w:rsidRDefault="00D1704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Паламаренко Олександр Володимирович</w:t>
            </w:r>
          </w:p>
        </w:tc>
      </w:tr>
      <w:tr w:rsidR="00392B03">
        <w:tc>
          <w:tcPr>
            <w:tcW w:w="3403" w:type="dxa"/>
          </w:tcPr>
          <w:p w:rsidR="00392B03" w:rsidRDefault="00392B0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392B03" w:rsidRDefault="00392B03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 w:rsidR="00392B03" w:rsidRDefault="00392B0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392B03" w:rsidRDefault="00392B03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92B03">
        <w:tc>
          <w:tcPr>
            <w:tcW w:w="3403" w:type="dxa"/>
          </w:tcPr>
          <w:p w:rsidR="00392B03" w:rsidRDefault="00D1704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Загальних зборів</w:t>
            </w:r>
          </w:p>
        </w:tc>
        <w:tc>
          <w:tcPr>
            <w:tcW w:w="2827" w:type="dxa"/>
          </w:tcPr>
          <w:p w:rsidR="00392B03" w:rsidRDefault="00392B03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 w:rsidR="00392B03" w:rsidRDefault="00D1704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Бичкова Вікторія Михайлівна</w:t>
            </w:r>
          </w:p>
        </w:tc>
      </w:tr>
      <w:tr w:rsidR="00392B03">
        <w:tc>
          <w:tcPr>
            <w:tcW w:w="3403" w:type="dxa"/>
          </w:tcPr>
          <w:p w:rsidR="00392B03" w:rsidRDefault="00392B03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392B03" w:rsidRDefault="00392B03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392B03" w:rsidRDefault="00392B03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B03" w:rsidRDefault="00392B03">
      <w:pPr>
        <w:tabs>
          <w:tab w:val="left" w:pos="90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B03" w:rsidRDefault="00392B03">
      <w:pPr>
        <w:rPr>
          <w:lang w:val="en-US"/>
        </w:rPr>
      </w:pPr>
    </w:p>
    <w:sectPr w:rsidR="00392B03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03" w:rsidRDefault="00D17049">
      <w:pPr>
        <w:spacing w:after="0" w:line="240" w:lineRule="auto"/>
      </w:pPr>
      <w:r>
        <w:separator/>
      </w:r>
    </w:p>
  </w:endnote>
  <w:endnote w:type="continuationSeparator" w:id="0">
    <w:p w:rsidR="00392B03" w:rsidRDefault="00D17049">
      <w:pPr>
        <w:spacing w:after="0" w:line="240" w:lineRule="auto"/>
      </w:pPr>
      <w:r>
        <w:continuationSeparator/>
      </w:r>
    </w:p>
  </w:endnote>
  <w:endnote w:type="continuationNotice" w:id="1">
    <w:p w:rsidR="00392B03" w:rsidRDefault="00392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03" w:rsidRDefault="00D17049">
      <w:pPr>
        <w:spacing w:after="0" w:line="240" w:lineRule="auto"/>
      </w:pPr>
      <w:r>
        <w:separator/>
      </w:r>
    </w:p>
  </w:footnote>
  <w:footnote w:type="continuationSeparator" w:id="0">
    <w:p w:rsidR="00392B03" w:rsidRDefault="00D17049">
      <w:pPr>
        <w:spacing w:after="0" w:line="240" w:lineRule="auto"/>
      </w:pPr>
      <w:r>
        <w:continuationSeparator/>
      </w:r>
    </w:p>
  </w:footnote>
  <w:footnote w:type="continuationNotice" w:id="1">
    <w:p w:rsidR="00392B03" w:rsidRDefault="00392B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162E"/>
    <w:multiLevelType w:val="hybridMultilevel"/>
    <w:tmpl w:val="AAFE8346"/>
    <w:lvl w:ilvl="0" w:tplc="EF7E6E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796" w:hanging="360"/>
      </w:pPr>
    </w:lvl>
    <w:lvl w:ilvl="2" w:tplc="0422001B">
      <w:start w:val="1"/>
      <w:numFmt w:val="lowerRoman"/>
      <w:lvlText w:val="%3."/>
      <w:lvlJc w:val="right"/>
      <w:pPr>
        <w:ind w:left="1516" w:hanging="180"/>
      </w:pPr>
    </w:lvl>
    <w:lvl w:ilvl="3" w:tplc="0422000F">
      <w:start w:val="1"/>
      <w:numFmt w:val="decimal"/>
      <w:lvlText w:val="%4."/>
      <w:lvlJc w:val="left"/>
      <w:pPr>
        <w:ind w:left="2236" w:hanging="360"/>
      </w:pPr>
    </w:lvl>
    <w:lvl w:ilvl="4" w:tplc="04220019">
      <w:start w:val="1"/>
      <w:numFmt w:val="lowerLetter"/>
      <w:lvlText w:val="%5."/>
      <w:lvlJc w:val="left"/>
      <w:pPr>
        <w:ind w:left="2956" w:hanging="360"/>
      </w:pPr>
    </w:lvl>
    <w:lvl w:ilvl="5" w:tplc="0422001B">
      <w:start w:val="1"/>
      <w:numFmt w:val="lowerRoman"/>
      <w:lvlText w:val="%6."/>
      <w:lvlJc w:val="right"/>
      <w:pPr>
        <w:ind w:left="3676" w:hanging="180"/>
      </w:pPr>
    </w:lvl>
    <w:lvl w:ilvl="6" w:tplc="0422000F">
      <w:start w:val="1"/>
      <w:numFmt w:val="decimal"/>
      <w:lvlText w:val="%7."/>
      <w:lvlJc w:val="left"/>
      <w:pPr>
        <w:ind w:left="4396" w:hanging="360"/>
      </w:pPr>
    </w:lvl>
    <w:lvl w:ilvl="7" w:tplc="04220019">
      <w:start w:val="1"/>
      <w:numFmt w:val="lowerLetter"/>
      <w:lvlText w:val="%8."/>
      <w:lvlJc w:val="left"/>
      <w:pPr>
        <w:ind w:left="5116" w:hanging="360"/>
      </w:pPr>
    </w:lvl>
    <w:lvl w:ilvl="8" w:tplc="0422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0UUldpAxdwdH0X9YgAegTMLzd8=" w:salt="Y4Z5uk55Epb+Fo7fjs8dh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03"/>
    <w:rsid w:val="00392B03"/>
    <w:rsid w:val="00D1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footnote text"/>
    <w:basedOn w:val="a"/>
    <w:link w:val="a5"/>
    <w:semiHidden/>
    <w:pPr>
      <w:spacing w:after="0" w:line="240" w:lineRule="auto"/>
    </w:pPr>
    <w:rPr>
      <w:sz w:val="20"/>
      <w:szCs w:val="20"/>
    </w:rPr>
  </w:style>
  <w:style w:type="paragraph" w:styleId="a6">
    <w:name w:val="annotation text"/>
    <w:basedOn w:val="a"/>
    <w:link w:val="a7"/>
    <w:semiHidden/>
    <w:pPr>
      <w:spacing w:line="240" w:lineRule="auto"/>
    </w:pPr>
    <w:rPr>
      <w:sz w:val="20"/>
      <w:szCs w:val="20"/>
    </w:rPr>
  </w:style>
  <w:style w:type="paragraph" w:styleId="a8">
    <w:name w:val="header"/>
    <w:basedOn w:val="a"/>
    <w:link w:val="a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5">
    <w:name w:val="Текст сноски Знак"/>
    <w:basedOn w:val="a0"/>
    <w:link w:val="a4"/>
    <w:semiHidden/>
    <w:rPr>
      <w:sz w:val="20"/>
      <w:szCs w:val="20"/>
    </w:rPr>
  </w:style>
  <w:style w:type="character" w:styleId="af0">
    <w:name w:val="footnote reference"/>
    <w:basedOn w:val="a0"/>
    <w:semiHidden/>
    <w:rPr>
      <w:vertAlign w:val="superscript"/>
    </w:rPr>
  </w:style>
  <w:style w:type="character" w:customStyle="1" w:styleId="a7">
    <w:name w:val="Текст примечания Знак"/>
    <w:basedOn w:val="a0"/>
    <w:link w:val="a6"/>
    <w:semiHidden/>
    <w:rPr>
      <w:sz w:val="20"/>
      <w:szCs w:val="20"/>
    </w:rPr>
  </w:style>
  <w:style w:type="character" w:styleId="af1">
    <w:name w:val="annotation reference"/>
    <w:basedOn w:val="a0"/>
    <w:semiHidden/>
    <w:rPr>
      <w:sz w:val="16"/>
      <w:szCs w:val="16"/>
    </w:rPr>
  </w:style>
  <w:style w:type="character" w:customStyle="1" w:styleId="a9">
    <w:name w:val="Верхний колонтитул Знак"/>
    <w:basedOn w:val="a0"/>
    <w:link w:val="a8"/>
    <w:semiHidden/>
  </w:style>
  <w:style w:type="character" w:customStyle="1" w:styleId="ab">
    <w:name w:val="Нижний колонтитул Знак"/>
    <w:basedOn w:val="a0"/>
    <w:link w:val="aa"/>
    <w:semiHidden/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footnote text"/>
    <w:basedOn w:val="a"/>
    <w:link w:val="a5"/>
    <w:semiHidden/>
    <w:pPr>
      <w:spacing w:after="0" w:line="240" w:lineRule="auto"/>
    </w:pPr>
    <w:rPr>
      <w:sz w:val="20"/>
      <w:szCs w:val="20"/>
    </w:rPr>
  </w:style>
  <w:style w:type="paragraph" w:styleId="a6">
    <w:name w:val="annotation text"/>
    <w:basedOn w:val="a"/>
    <w:link w:val="a7"/>
    <w:semiHidden/>
    <w:pPr>
      <w:spacing w:line="240" w:lineRule="auto"/>
    </w:pPr>
    <w:rPr>
      <w:sz w:val="20"/>
      <w:szCs w:val="20"/>
    </w:rPr>
  </w:style>
  <w:style w:type="paragraph" w:styleId="a8">
    <w:name w:val="header"/>
    <w:basedOn w:val="a"/>
    <w:link w:val="a9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semiHidden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5">
    <w:name w:val="Текст сноски Знак"/>
    <w:basedOn w:val="a0"/>
    <w:link w:val="a4"/>
    <w:semiHidden/>
    <w:rPr>
      <w:sz w:val="20"/>
      <w:szCs w:val="20"/>
    </w:rPr>
  </w:style>
  <w:style w:type="character" w:styleId="af0">
    <w:name w:val="footnote reference"/>
    <w:basedOn w:val="a0"/>
    <w:semiHidden/>
    <w:rPr>
      <w:vertAlign w:val="superscript"/>
    </w:rPr>
  </w:style>
  <w:style w:type="character" w:customStyle="1" w:styleId="a7">
    <w:name w:val="Текст примечания Знак"/>
    <w:basedOn w:val="a0"/>
    <w:link w:val="a6"/>
    <w:semiHidden/>
    <w:rPr>
      <w:sz w:val="20"/>
      <w:szCs w:val="20"/>
    </w:rPr>
  </w:style>
  <w:style w:type="character" w:styleId="af1">
    <w:name w:val="annotation reference"/>
    <w:basedOn w:val="a0"/>
    <w:semiHidden/>
    <w:rPr>
      <w:sz w:val="16"/>
      <w:szCs w:val="16"/>
    </w:rPr>
  </w:style>
  <w:style w:type="character" w:customStyle="1" w:styleId="a9">
    <w:name w:val="Верхний колонтитул Знак"/>
    <w:basedOn w:val="a0"/>
    <w:link w:val="a8"/>
    <w:semiHidden/>
  </w:style>
  <w:style w:type="character" w:customStyle="1" w:styleId="ab">
    <w:name w:val="Нижний колонтитул Знак"/>
    <w:basedOn w:val="a0"/>
    <w:link w:val="aa"/>
    <w:semiHidden/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af2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2BBC60D5A1EA4D93AC0861CD7E5B14" ma:contentTypeVersion="5" ma:contentTypeDescription="Створення нового документа." ma:contentTypeScope="" ma:versionID="1c00ad86b2673ba1245e974e895759a5">
  <xsd:schema xmlns:xsd="http://www.w3.org/2001/XMLSchema" xmlns:xs="http://www.w3.org/2001/XMLSchema" xmlns:p="http://schemas.microsoft.com/office/2006/metadata/properties" xmlns:ns2="98b98d37-ebbb-4a39-ab84-b1238f807dc3" xmlns:ns3="76bfb5bb-1604-4d72-9843-8830db66fd49" targetNamespace="http://schemas.microsoft.com/office/2006/metadata/properties" ma:root="true" ma:fieldsID="15d51a2461185126bbf249cff44bf723" ns2:_="" ns3:_="">
    <xsd:import namespace="98b98d37-ebbb-4a39-ab84-b1238f807dc3"/>
    <xsd:import namespace="76bfb5bb-1604-4d72-9843-8830db66f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8d37-ebbb-4a39-ab84-b1238f807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b5bb-1604-4d72-9843-8830db66f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0D05B-B187-4D24-9829-1DECEB1ABAA6}">
  <ds:schemaRefs>
    <ds:schemaRef ds:uri="http://purl.org/dc/dcmitype/"/>
    <ds:schemaRef ds:uri="76bfb5bb-1604-4d72-9843-8830db66fd49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8b98d37-ebbb-4a39-ab84-b1238f807dc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C2C19C-41CE-4F6A-BD0A-767B623E9BFC}">
  <ds:schemaRefs>
    <ds:schemaRef ds:uri="http://schemas.microsoft.com/vsto/samples"/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51CB8-ED4B-441A-AF32-8DF3B3B852BE}">
  <ds:schemaRefs>
    <ds:schemaRef ds:uri="http://schemas.microsoft.com/vsto/sample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98d37-ebbb-4a39-ab84-b1238f807dc3"/>
    <ds:schemaRef ds:uri="76bfb5bb-1604-4d72-9843-8830db66f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2691</Words>
  <Characters>15342</Characters>
  <Application>Microsoft Office Word</Application>
  <DocSecurity>8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Панчугін</dc:creator>
  <cp:lastModifiedBy>HP Omni</cp:lastModifiedBy>
  <cp:revision>75</cp:revision>
  <dcterms:created xsi:type="dcterms:W3CDTF">2023-08-14T16:42:00Z</dcterms:created>
  <dcterms:modified xsi:type="dcterms:W3CDTF">2025-04-25T13:30:00Z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0x010100A32BBC60D5A1EA4D93AC0861CD7E5B14</vt:lpwstr>
  </property>
</Properties>
</file>